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EC" w:rsidRPr="00CA0030" w:rsidRDefault="002339EC" w:rsidP="002339E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0030">
        <w:rPr>
          <w:rFonts w:ascii="Times New Roman" w:eastAsia="Calibri" w:hAnsi="Times New Roman" w:cs="Times New Roman"/>
          <w:b/>
          <w:sz w:val="26"/>
          <w:szCs w:val="26"/>
        </w:rPr>
        <w:t>MA TRẬN ĐỀ KIỂM TRA CUỐI  HỌC KÌ II– LỚP 11</w:t>
      </w:r>
    </w:p>
    <w:p w:rsidR="002339EC" w:rsidRPr="00CA0030" w:rsidRDefault="002339EC" w:rsidP="002339E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0030">
        <w:rPr>
          <w:rFonts w:ascii="Times New Roman" w:eastAsia="Calibri" w:hAnsi="Times New Roman" w:cs="Times New Roman"/>
          <w:b/>
          <w:sz w:val="26"/>
          <w:szCs w:val="26"/>
        </w:rPr>
        <w:t>MÔN: LỊCH SỬ – THỜI GIAN LÀM BÀI: 45 phút – NĂM HỌC 2023 – 2024</w:t>
      </w:r>
    </w:p>
    <w:tbl>
      <w:tblPr>
        <w:tblStyle w:val="TableGrid"/>
        <w:tblW w:w="1134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479"/>
        <w:gridCol w:w="954"/>
        <w:gridCol w:w="627"/>
        <w:gridCol w:w="720"/>
        <w:gridCol w:w="720"/>
        <w:gridCol w:w="810"/>
        <w:gridCol w:w="540"/>
        <w:gridCol w:w="720"/>
        <w:gridCol w:w="720"/>
        <w:gridCol w:w="720"/>
        <w:gridCol w:w="540"/>
        <w:gridCol w:w="630"/>
        <w:gridCol w:w="810"/>
        <w:gridCol w:w="810"/>
      </w:tblGrid>
      <w:tr w:rsidR="00CA0030" w:rsidRPr="00CA0030" w:rsidTr="00AA110C">
        <w:trPr>
          <w:trHeight w:val="1403"/>
        </w:trPr>
        <w:tc>
          <w:tcPr>
            <w:tcW w:w="54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79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954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Đơn vị kiến thức</w:t>
            </w:r>
          </w:p>
        </w:tc>
        <w:tc>
          <w:tcPr>
            <w:tcW w:w="5577" w:type="dxa"/>
            <w:gridSpan w:val="8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Mức độ nhận thức</w:t>
            </w:r>
          </w:p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gridSpan w:val="3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10" w:type="dxa"/>
          </w:tcPr>
          <w:p w:rsidR="002339EC" w:rsidRPr="00CA0030" w:rsidRDefault="002339EC" w:rsidP="002339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%</w:t>
            </w:r>
          </w:p>
        </w:tc>
      </w:tr>
      <w:tr w:rsidR="00CA0030" w:rsidRPr="00CA0030" w:rsidTr="00AA110C">
        <w:tc>
          <w:tcPr>
            <w:tcW w:w="54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biệt</w:t>
            </w:r>
          </w:p>
        </w:tc>
        <w:tc>
          <w:tcPr>
            <w:tcW w:w="72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2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1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4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2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2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72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4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10" w:type="dxa"/>
          </w:tcPr>
          <w:p w:rsidR="002339EC" w:rsidRPr="00CA0030" w:rsidRDefault="002339E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AA110C"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79" w:type="dxa"/>
            <w:vMerge w:val="restart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Chương 5:Một số cải cách lớn trong lịch sử Việt Nam (  Trước năm 1858)</w:t>
            </w:r>
          </w:p>
        </w:tc>
        <w:tc>
          <w:tcPr>
            <w:tcW w:w="954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9: Cuộc cải cách của Hồ Qúy Ly và Triều Hồ ( Cuối thế kỷ XIV, đầu thế kỷ XV)</w:t>
            </w:r>
          </w:p>
        </w:tc>
        <w:tc>
          <w:tcPr>
            <w:tcW w:w="627" w:type="dxa"/>
          </w:tcPr>
          <w:p w:rsidR="006444FE" w:rsidRPr="00CA0030" w:rsidRDefault="00DD0FFA" w:rsidP="00DD0FF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AC335B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AA110C"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10: Cuộc cải cách của Lê Thánh Tông ( Thế kỉ XV)</w:t>
            </w:r>
          </w:p>
        </w:tc>
        <w:tc>
          <w:tcPr>
            <w:tcW w:w="627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Đ/S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AA110C"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11: Cuộc cải cách của Minh Mạng ( Nửa đầu thế kỉ XIX)</w:t>
            </w:r>
          </w:p>
        </w:tc>
        <w:tc>
          <w:tcPr>
            <w:tcW w:w="627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Đ/S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AA110C"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79" w:type="dxa"/>
            <w:vMerge w:val="restart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6: Lịch sử bảo vệ chủ quyền, các quyền và lợi ích hợp pháp của Việt Nam ở Biển Đông</w:t>
            </w:r>
          </w:p>
        </w:tc>
        <w:tc>
          <w:tcPr>
            <w:tcW w:w="954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12: Vị trí và tầm quan trọng của Biển Đông</w:t>
            </w:r>
          </w:p>
        </w:tc>
        <w:tc>
          <w:tcPr>
            <w:tcW w:w="627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AC335B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AA110C"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13: Việt Nam và Biển Đông</w:t>
            </w:r>
          </w:p>
        </w:tc>
        <w:tc>
          <w:tcPr>
            <w:tcW w:w="627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444FE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72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:rsidR="006444FE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6444FE" w:rsidRPr="00CA0030" w:rsidRDefault="006444FE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FE1F58">
        <w:tc>
          <w:tcPr>
            <w:tcW w:w="2019" w:type="dxa"/>
            <w:gridSpan w:val="2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Tổng </w:t>
            </w:r>
          </w:p>
        </w:tc>
        <w:tc>
          <w:tcPr>
            <w:tcW w:w="954" w:type="dxa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</w:tcPr>
          <w:p w:rsidR="00AA110C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20" w:type="dxa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A110C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A110C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AA110C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AA110C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30" w:type="dxa"/>
          </w:tcPr>
          <w:p w:rsidR="00AA110C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AA110C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0" w:type="dxa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B66F63">
        <w:tc>
          <w:tcPr>
            <w:tcW w:w="2019" w:type="dxa"/>
            <w:gridSpan w:val="2"/>
          </w:tcPr>
          <w:p w:rsidR="00DD0FFA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954" w:type="dxa"/>
          </w:tcPr>
          <w:p w:rsidR="00DD0FFA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DD0FFA" w:rsidRPr="00CA0030" w:rsidRDefault="00AC335B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530" w:type="dxa"/>
            <w:gridSpan w:val="2"/>
          </w:tcPr>
          <w:p w:rsidR="00DD0FFA" w:rsidRPr="00CA0030" w:rsidRDefault="00AC335B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60" w:type="dxa"/>
            <w:gridSpan w:val="2"/>
          </w:tcPr>
          <w:p w:rsidR="00DD0FFA" w:rsidRPr="00CA0030" w:rsidRDefault="00AC335B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440" w:type="dxa"/>
            <w:gridSpan w:val="2"/>
          </w:tcPr>
          <w:p w:rsidR="00DD0FFA" w:rsidRPr="00CA0030" w:rsidRDefault="00AC335B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40" w:type="dxa"/>
          </w:tcPr>
          <w:p w:rsidR="00DD0FFA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:rsidR="00DD0FFA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DD0FFA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0" w:type="dxa"/>
          </w:tcPr>
          <w:p w:rsidR="00DD0FFA" w:rsidRPr="00CA0030" w:rsidRDefault="00DD0FFA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CB3B42">
        <w:tc>
          <w:tcPr>
            <w:tcW w:w="2019" w:type="dxa"/>
            <w:gridSpan w:val="2"/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 %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77" w:type="dxa"/>
            <w:gridSpan w:val="4"/>
            <w:tcBorders>
              <w:bottom w:val="single" w:sz="4" w:space="0" w:color="auto"/>
            </w:tcBorders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2700" w:type="dxa"/>
            <w:gridSpan w:val="4"/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70" w:type="dxa"/>
            <w:gridSpan w:val="2"/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10" w:type="dxa"/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0" w:type="dxa"/>
          </w:tcPr>
          <w:p w:rsidR="00CA0030" w:rsidRPr="00CA0030" w:rsidRDefault="00CA0030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A0030" w:rsidRPr="00CA0030" w:rsidTr="009701D3">
        <w:tc>
          <w:tcPr>
            <w:tcW w:w="2019" w:type="dxa"/>
            <w:gridSpan w:val="2"/>
          </w:tcPr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1" w:type="dxa"/>
            <w:gridSpan w:val="13"/>
            <w:tcBorders>
              <w:top w:val="nil"/>
            </w:tcBorders>
          </w:tcPr>
          <w:p w:rsidR="00AA110C" w:rsidRPr="00CA0030" w:rsidRDefault="00AA110C" w:rsidP="00AA110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Lưu ý: Câu tự luận trên có thể ra bài 9 hoặc bài 13</w:t>
            </w:r>
          </w:p>
          <w:p w:rsidR="00AA110C" w:rsidRPr="00CA0030" w:rsidRDefault="00AA110C" w:rsidP="002339E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2339EC" w:rsidRPr="00CA0030" w:rsidRDefault="002339EC" w:rsidP="002339E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65C3" w:rsidRPr="007C65C3" w:rsidRDefault="007C65C3" w:rsidP="007C65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>ĐẶC TẢ KĨ THUẬT ĐỀ KIỂM TRA CUỐI KÌ II - NĂM HỌC: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 xml:space="preserve"> 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7C65C3" w:rsidRPr="007C65C3" w:rsidRDefault="007C65C3" w:rsidP="007C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>MÔN: LỊCH SỬ LỚP 1</w:t>
      </w:r>
      <w:r w:rsidR="007F131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7C65C3">
        <w:rPr>
          <w:rFonts w:ascii="Times New Roman" w:eastAsia="Times New Roman" w:hAnsi="Times New Roman" w:cs="Times New Roman"/>
          <w:b/>
          <w:sz w:val="26"/>
          <w:szCs w:val="26"/>
        </w:rPr>
        <w:t>– THỜI GIAN LÀM BÀI: 45 phút</w:t>
      </w:r>
    </w:p>
    <w:p w:rsidR="007C65C3" w:rsidRPr="007C65C3" w:rsidRDefault="007C65C3" w:rsidP="007C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1"/>
        <w:tblW w:w="10498" w:type="dxa"/>
        <w:tblInd w:w="-365" w:type="dxa"/>
        <w:tblLook w:val="04A0" w:firstRow="1" w:lastRow="0" w:firstColumn="1" w:lastColumn="0" w:noHBand="0" w:noVBand="1"/>
      </w:tblPr>
      <w:tblGrid>
        <w:gridCol w:w="1229"/>
        <w:gridCol w:w="1123"/>
        <w:gridCol w:w="1044"/>
        <w:gridCol w:w="3664"/>
        <w:gridCol w:w="823"/>
        <w:gridCol w:w="939"/>
        <w:gridCol w:w="780"/>
        <w:gridCol w:w="896"/>
      </w:tblGrid>
      <w:tr w:rsidR="00C3223B" w:rsidRPr="007C65C3" w:rsidTr="00C3223B">
        <w:trPr>
          <w:trHeight w:val="885"/>
        </w:trPr>
        <w:tc>
          <w:tcPr>
            <w:tcW w:w="1328" w:type="dxa"/>
            <w:vMerge w:val="restart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123" w:type="dxa"/>
            <w:vMerge w:val="restart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058" w:type="dxa"/>
            <w:vMerge w:val="restart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667" w:type="dxa"/>
            <w:vMerge w:val="restart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322" w:type="dxa"/>
            <w:gridSpan w:val="4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3223B" w:rsidRPr="007C65C3" w:rsidTr="00C3223B">
        <w:trPr>
          <w:trHeight w:val="1800"/>
        </w:trPr>
        <w:tc>
          <w:tcPr>
            <w:tcW w:w="1328" w:type="dxa"/>
            <w:vMerge/>
          </w:tcPr>
          <w:p w:rsidR="007C65C3" w:rsidRPr="007C65C3" w:rsidRDefault="007C65C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  <w:vMerge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7" w:type="dxa"/>
            <w:vMerge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80" w:type="dxa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80" w:type="dxa"/>
          </w:tcPr>
          <w:p w:rsidR="007C65C3" w:rsidRPr="007C65C3" w:rsidRDefault="007C65C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C3223B" w:rsidRPr="007C65C3" w:rsidTr="00C3223B">
        <w:trPr>
          <w:trHeight w:val="1800"/>
        </w:trPr>
        <w:tc>
          <w:tcPr>
            <w:tcW w:w="1328" w:type="dxa"/>
            <w:vMerge w:val="restart"/>
          </w:tcPr>
          <w:p w:rsidR="00C3223B" w:rsidRPr="007C65C3" w:rsidRDefault="00C3223B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23" w:type="dxa"/>
            <w:vMerge w:val="restart"/>
          </w:tcPr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Chương 5:Một số cải cách lớn trong lịch sử Việt Nam (  Trước năm 1858)</w:t>
            </w:r>
          </w:p>
        </w:tc>
        <w:tc>
          <w:tcPr>
            <w:tcW w:w="1058" w:type="dxa"/>
          </w:tcPr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9: Cuộc cải cách của Hồ Qúy Ly và Triều Hồ ( Cuối thế kỷ XIV, đầu thế kỷ XV)</w:t>
            </w:r>
          </w:p>
        </w:tc>
        <w:tc>
          <w:tcPr>
            <w:tcW w:w="3667" w:type="dxa"/>
          </w:tcPr>
          <w:p w:rsidR="00C3223B" w:rsidRPr="007F131B" w:rsidRDefault="00C3223B" w:rsidP="007F13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C3223B" w:rsidRPr="007F131B" w:rsidRDefault="00C3223B" w:rsidP="007F131B">
            <w:pPr>
              <w:spacing w:line="253" w:lineRule="auto"/>
              <w:ind w:right="6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bối cảnh lịch sử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cuộc cải cách của Hồ Quý Ly và Triều Hồ. </w:t>
            </w:r>
          </w:p>
          <w:p w:rsidR="00C3223B" w:rsidRDefault="00C3223B" w:rsidP="007F131B">
            <w:pPr>
              <w:spacing w:line="253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nội dung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cuộc cải cách của Hồ Quý Ly và Triều Hồ.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kết quả và ý nghĩa cuộc cải cách của Hồ Quý Ly và Triều Hồ.</w:t>
            </w:r>
          </w:p>
          <w:p w:rsidR="00C3223B" w:rsidRPr="007F131B" w:rsidRDefault="00C3223B" w:rsidP="007F131B">
            <w:pPr>
              <w:spacing w:after="3" w:line="27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7F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Có ý thức trân trọng giá trị cuộc cải cách của Hồ Quý Ly và triều Hồ. </w:t>
            </w:r>
          </w:p>
          <w:p w:rsidR="00C3223B" w:rsidRPr="00C3223B" w:rsidRDefault="00C3223B" w:rsidP="00C3223B">
            <w:pPr>
              <w:spacing w:after="22" w:line="259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 w:rsidRPr="00C3223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Vận dụng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cao:</w:t>
            </w:r>
          </w:p>
          <w:p w:rsidR="00C3223B" w:rsidRPr="00C3223B" w:rsidRDefault="00C3223B" w:rsidP="00C3223B">
            <w:pPr>
              <w:spacing w:line="278" w:lineRule="auto"/>
              <w:ind w:left="103"/>
              <w:jc w:val="both"/>
              <w:rPr>
                <w:rFonts w:ascii="Calibri" w:eastAsia="Calibri" w:hAnsi="Calibri" w:cs="Calibri"/>
                <w:color w:val="000000"/>
              </w:rPr>
            </w:pP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-Rút ra được những bài học lịch sử từ cải cách của Hồ Quý Ly </w:t>
            </w:r>
          </w:p>
          <w:p w:rsidR="00C3223B" w:rsidRPr="007C65C3" w:rsidRDefault="00C3223B" w:rsidP="007F131B">
            <w:pPr>
              <w:spacing w:line="251" w:lineRule="auto"/>
              <w:ind w:right="2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C3223B" w:rsidP="007F13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C3223B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</w:tcPr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80" w:type="dxa"/>
          </w:tcPr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80" w:type="dxa"/>
          </w:tcPr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3223B" w:rsidRPr="007C65C3" w:rsidTr="00C3223B">
        <w:trPr>
          <w:trHeight w:val="1800"/>
        </w:trPr>
        <w:tc>
          <w:tcPr>
            <w:tcW w:w="1328" w:type="dxa"/>
            <w:vMerge/>
          </w:tcPr>
          <w:p w:rsidR="00C3223B" w:rsidRPr="007C65C3" w:rsidRDefault="00C3223B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10: Cuộc cải cách của Lê Thánh Tông ( Thế kỉ XV)</w:t>
            </w:r>
          </w:p>
        </w:tc>
        <w:tc>
          <w:tcPr>
            <w:tcW w:w="3667" w:type="dxa"/>
          </w:tcPr>
          <w:p w:rsidR="00C3223B" w:rsidRDefault="00C3223B" w:rsidP="00C3223B">
            <w:pPr>
              <w:spacing w:line="254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Nhận biết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C3223B" w:rsidRPr="00C3223B" w:rsidRDefault="00C3223B" w:rsidP="00C3223B">
            <w:pPr>
              <w:spacing w:line="254" w:lineRule="auto"/>
              <w:ind w:right="6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bối cảnh lịch sử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cuộc cải cách của Lê Thánh Tông. </w:t>
            </w:r>
          </w:p>
          <w:p w:rsidR="00C3223B" w:rsidRPr="00C3223B" w:rsidRDefault="00C3223B" w:rsidP="00C3223B">
            <w:pPr>
              <w:spacing w:line="254" w:lineRule="auto"/>
              <w:ind w:right="62"/>
              <w:jc w:val="both"/>
              <w:rPr>
                <w:rFonts w:ascii="Calibri" w:eastAsia="Calibri" w:hAnsi="Calibri" w:cs="Calibri"/>
                <w:color w:val="000000"/>
              </w:rPr>
            </w:pP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Trình bày được nội dung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cuộc cải cách của Lê Thánh Tông. </w:t>
            </w:r>
          </w:p>
          <w:p w:rsidR="00C3223B" w:rsidRDefault="00C3223B" w:rsidP="00C3223B">
            <w:pPr>
              <w:spacing w:line="254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Trình bày được kết quả và ý nghĩa cuộc cải cách của Lê Thánh Tông. </w:t>
            </w:r>
          </w:p>
          <w:p w:rsidR="00C3223B" w:rsidRPr="00C3223B" w:rsidRDefault="00C3223B" w:rsidP="00C3223B">
            <w:pPr>
              <w:spacing w:line="254" w:lineRule="auto"/>
              <w:ind w:right="6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Trình bày được ý nghĩa cuộc cải cách của Lê Thánh Tông. </w:t>
            </w:r>
          </w:p>
          <w:p w:rsidR="00C3223B" w:rsidRPr="007D11AB" w:rsidRDefault="00C3223B" w:rsidP="00C3223B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D11A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C3223B" w:rsidRDefault="00C3223B" w:rsidP="00C322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  <w:r w:rsidRPr="00C3223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Có ý thức trân trọng giá trị cuộc cải cách của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223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Lê Thánh Tông</w:t>
            </w:r>
          </w:p>
          <w:p w:rsidR="00C3223B" w:rsidRPr="00C3223B" w:rsidRDefault="00C3223B" w:rsidP="00C3223B">
            <w:pPr>
              <w:spacing w:line="280" w:lineRule="auto"/>
              <w:ind w:left="-111" w:right="2480" w:firstLine="111"/>
              <w:rPr>
                <w:rFonts w:ascii="Calibri" w:eastAsia="Calibri" w:hAnsi="Calibri" w:cs="Calibri"/>
                <w:color w:val="000000"/>
              </w:rPr>
            </w:pPr>
            <w:r w:rsidRPr="00C3223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Vậndụng </w:t>
            </w:r>
          </w:p>
          <w:p w:rsidR="00C3223B" w:rsidRPr="00C3223B" w:rsidRDefault="007D11AB" w:rsidP="00C3223B">
            <w:pPr>
              <w:spacing w:line="259" w:lineRule="auto"/>
              <w:ind w:left="103" w:right="16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C3223B" w:rsidRPr="00C322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Rút ra được những điểm tiến bộ từ cuộc cải cách của vua Lê Thánh Tông có thể vận dụng được trong bối cảnh hiện nay. </w:t>
            </w:r>
          </w:p>
          <w:p w:rsidR="00C3223B" w:rsidRPr="00C3223B" w:rsidRDefault="00C3223B" w:rsidP="00C3223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823" w:type="dxa"/>
          </w:tcPr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</w:tcPr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C3223B" w:rsidRPr="007C65C3" w:rsidTr="00C3223B">
        <w:trPr>
          <w:trHeight w:val="1800"/>
        </w:trPr>
        <w:tc>
          <w:tcPr>
            <w:tcW w:w="1328" w:type="dxa"/>
            <w:vMerge/>
          </w:tcPr>
          <w:p w:rsidR="00C3223B" w:rsidRPr="007C65C3" w:rsidRDefault="00C3223B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11: Cuộc cải cách của Minh Mạng ( Nửa đầu thế kỉ XIX)</w:t>
            </w:r>
          </w:p>
        </w:tc>
        <w:tc>
          <w:tcPr>
            <w:tcW w:w="3667" w:type="dxa"/>
          </w:tcPr>
          <w:p w:rsidR="007D11AB" w:rsidRPr="007D11AB" w:rsidRDefault="00C3223B" w:rsidP="007D11A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Nhận biết</w:t>
            </w:r>
            <w:r w:rsidR="007D11A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7D11AB" w:rsidRDefault="007D11AB" w:rsidP="007D11AB">
            <w:pPr>
              <w:spacing w:after="18" w:line="265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Trình bày được bối cảnh lịch sử cuộc cải cách của Minh Mạng. </w:t>
            </w:r>
          </w:p>
          <w:p w:rsidR="007D11AB" w:rsidRDefault="007D11AB" w:rsidP="007D11AB">
            <w:pPr>
              <w:spacing w:after="18" w:line="265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nội dung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>cuộc cải cách của Minh Mạng.</w:t>
            </w:r>
          </w:p>
          <w:p w:rsidR="007D11AB" w:rsidRDefault="007D11AB" w:rsidP="007D11AB">
            <w:pPr>
              <w:spacing w:after="18" w:line="265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kết quả cuộc cải cách của Minh Mạng.</w:t>
            </w:r>
          </w:p>
          <w:p w:rsidR="007D11AB" w:rsidRDefault="007D11AB" w:rsidP="007D11AB">
            <w:pPr>
              <w:spacing w:after="18" w:line="265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Trình bày được ý nghĩa cuộc cải cách của Minh Mạng. </w:t>
            </w:r>
          </w:p>
          <w:p w:rsidR="007D11AB" w:rsidRPr="007D11AB" w:rsidRDefault="007D11AB" w:rsidP="007D11AB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D11A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7D11AB" w:rsidRPr="007D11AB" w:rsidRDefault="007D11AB" w:rsidP="007D11AB">
            <w:pPr>
              <w:spacing w:after="18" w:line="265" w:lineRule="auto"/>
              <w:ind w:right="6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Có ý thức trân trọng giá trị cuộc cải cách của Minh Mạng. </w:t>
            </w:r>
          </w:p>
          <w:p w:rsidR="007D11AB" w:rsidRPr="007D11AB" w:rsidRDefault="007D11AB" w:rsidP="007D11AB">
            <w:pPr>
              <w:spacing w:after="22" w:line="259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 w:rsidRPr="007D11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Vận dụng </w:t>
            </w:r>
          </w:p>
          <w:p w:rsidR="007D11AB" w:rsidRPr="007D11AB" w:rsidRDefault="007D11AB" w:rsidP="007D11AB">
            <w:pPr>
              <w:spacing w:line="276" w:lineRule="auto"/>
              <w:ind w:left="103" w:right="15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7D11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Rút ra được những bài học  từ cuộc cải cách của vua  Minh Mạng có thể vận dụng được trong cuộc cải cách hành chính ở Việt Nam. </w:t>
            </w:r>
          </w:p>
          <w:p w:rsidR="00C3223B" w:rsidRPr="007C65C3" w:rsidRDefault="00C3223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</w:tcPr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3223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D11AB" w:rsidRPr="007C65C3" w:rsidTr="00C3223B">
        <w:trPr>
          <w:trHeight w:val="1800"/>
        </w:trPr>
        <w:tc>
          <w:tcPr>
            <w:tcW w:w="1328" w:type="dxa"/>
            <w:vMerge w:val="restart"/>
          </w:tcPr>
          <w:p w:rsidR="007D11AB" w:rsidRPr="007C65C3" w:rsidRDefault="007D11AB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vMerge w:val="restart"/>
          </w:tcPr>
          <w:p w:rsidR="007D11AB" w:rsidRPr="007C65C3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6: Lịch sử bảo vệ chủ quyền, các quyền và lợi ích hợp pháp của Việt Nam ở Biển Đông</w:t>
            </w:r>
          </w:p>
        </w:tc>
        <w:tc>
          <w:tcPr>
            <w:tcW w:w="1058" w:type="dxa"/>
          </w:tcPr>
          <w:p w:rsidR="007D11AB" w:rsidRPr="007C65C3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12: Vị trí và tầm quan trọng của Biển Đông</w:t>
            </w:r>
          </w:p>
        </w:tc>
        <w:tc>
          <w:tcPr>
            <w:tcW w:w="3667" w:type="dxa"/>
          </w:tcPr>
          <w:p w:rsidR="007D11AB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Nhận biết</w:t>
            </w:r>
          </w:p>
          <w:p w:rsidR="007D11AB" w:rsidRPr="007D11AB" w:rsidRDefault="007D11AB" w:rsidP="007C65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11AB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vị trí của Biển Đông trên bản đồ.</w:t>
            </w:r>
          </w:p>
          <w:p w:rsidR="007D11AB" w:rsidRPr="007D11AB" w:rsidRDefault="007D11AB" w:rsidP="007C65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1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-Trình bày được tầm quan trong chiến lược </w:t>
            </w:r>
            <w:r w:rsidRPr="007D11AB">
              <w:rPr>
                <w:rFonts w:ascii="Times New Roman" w:eastAsia="Times New Roman" w:hAnsi="Times New Roman" w:cs="Times New Roman"/>
                <w:sz w:val="26"/>
                <w:szCs w:val="26"/>
              </w:rPr>
              <w:t>của Biển Đông</w:t>
            </w:r>
            <w:r w:rsidRPr="007D1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về giao thông biển, vị trí chiến lược, nguồn tài nguyên thiên nhiên</w:t>
            </w:r>
          </w:p>
          <w:p w:rsidR="007D11AB" w:rsidRDefault="007D11AB" w:rsidP="007C65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11AB">
              <w:rPr>
                <w:rFonts w:ascii="Times New Roman" w:eastAsia="Times New Roman" w:hAnsi="Times New Roman" w:cs="Times New Roman"/>
                <w:sz w:val="26"/>
                <w:szCs w:val="26"/>
              </w:rPr>
              <w:t>-Trình bày được các đảo và quần đảo ở Biển Đông trên bản đồ.</w:t>
            </w:r>
          </w:p>
          <w:p w:rsidR="007D11AB" w:rsidRDefault="007D11AB" w:rsidP="007C65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B19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Trình bày tầm quan trọng của </w:t>
            </w:r>
            <w:r w:rsidRPr="009B19DB">
              <w:rPr>
                <w:rFonts w:ascii="Times New Roman" w:eastAsia="Times New Roman" w:hAnsi="Times New Roman" w:cs="Times New Roman"/>
                <w:sz w:val="26"/>
                <w:szCs w:val="26"/>
              </w:rPr>
              <w:t>các đảo và quần đảo ở Biển Đông</w:t>
            </w:r>
            <w:r w:rsidRPr="009B19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B19D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D11A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9B19DB" w:rsidRPr="007D11AB" w:rsidRDefault="009B19DB" w:rsidP="009B19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Giải thích được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D11A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 tầm quan trong chiến lược của Biển Đông về giao thông biển, vị trí chiến lược, nguồn tài nguyên thiên nhiên</w:t>
            </w:r>
          </w:p>
          <w:p w:rsidR="009B19DB" w:rsidRPr="007D11A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9B19DB" w:rsidRPr="009B19DB" w:rsidRDefault="009B19DB" w:rsidP="007C65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1AB" w:rsidRPr="007C65C3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7D11A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</w:tcPr>
          <w:p w:rsidR="007D11A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7D11A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80" w:type="dxa"/>
          </w:tcPr>
          <w:p w:rsidR="007D11A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D11AB" w:rsidRPr="007C65C3" w:rsidTr="00C3223B">
        <w:trPr>
          <w:trHeight w:val="1800"/>
        </w:trPr>
        <w:tc>
          <w:tcPr>
            <w:tcW w:w="1328" w:type="dxa"/>
            <w:vMerge/>
          </w:tcPr>
          <w:p w:rsidR="007D11AB" w:rsidRPr="007C65C3" w:rsidRDefault="007D11AB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7D11AB" w:rsidRPr="007C65C3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7D11AB" w:rsidRPr="007C65C3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13: Việt Nam và Biển Đông</w:t>
            </w:r>
          </w:p>
        </w:tc>
        <w:tc>
          <w:tcPr>
            <w:tcW w:w="3667" w:type="dxa"/>
          </w:tcPr>
          <w:p w:rsidR="009B19DB" w:rsidRDefault="007D11AB" w:rsidP="009B19DB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Nhận biết</w:t>
            </w:r>
            <w:r w:rsidR="009B19D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9B19DB" w:rsidRPr="009B19D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Trình bày được tầm quan trọng chiến lược của Biển Đông đối với việt Nam về quốc phòng, an ninh và phát triển các ngành kinh tế trọng điểm.</w:t>
            </w:r>
          </w:p>
          <w:p w:rsidR="009B19DB" w:rsidRPr="009B19D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-Trình bày được Việt Nam là Nhà nước đầu tiên xác lập chủ quyền và quản lí liên tục đối với quần đảo Quần Sa và </w:t>
            </w: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quần đảo</w:t>
            </w: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Hoàng </w:t>
            </w: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Sa</w:t>
            </w: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trong lịch sử.</w:t>
            </w:r>
          </w:p>
          <w:p w:rsidR="009B19D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-Trình bày được n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ét</w:t>
            </w: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chính về cuộc đấu tranh bảo vệ và thực thi chủ quyền các quyền và lợi ích hợp pháp của Việt Nam ở Biển Đông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B19DB" w:rsidRPr="009B19D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Trình bày được chủ trương của Việt Nam giải quyết các tranh chấp ở Biển Đông bằng biện pháp hòa bình.</w:t>
            </w:r>
          </w:p>
          <w:p w:rsidR="009B19DB" w:rsidRDefault="009B19DB" w:rsidP="009B19DB">
            <w:pPr>
              <w:spacing w:after="22" w:line="259" w:lineRule="auto"/>
              <w:ind w:left="103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D11A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481108" w:rsidRPr="009B19DB" w:rsidRDefault="009B19DB" w:rsidP="0048110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481108"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81108"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Giải thích được</w:t>
            </w:r>
            <w:r w:rsidR="004811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81108" w:rsidRPr="009B19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Việt Nam là Nhà nước đầu tiên xác lập chủ quyền và quản lí liên tục đối với quần đảo Quần Sa và quần đảo Hoàng  Sa trong lịch sử.</w:t>
            </w:r>
          </w:p>
          <w:p w:rsidR="009B19DB" w:rsidRDefault="009B19DB" w:rsidP="00481108">
            <w:pPr>
              <w:spacing w:after="22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D11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Vận dụng </w:t>
            </w:r>
            <w:r w:rsidR="004811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cao:</w:t>
            </w:r>
          </w:p>
          <w:p w:rsidR="00481108" w:rsidRPr="007D11AB" w:rsidRDefault="00481108" w:rsidP="00481108">
            <w:pPr>
              <w:spacing w:after="22"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811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Có thái độ trân trọng những thành quả đấu tranh bảo vệ chủ quyền, các quyền và lợi ích hợp pháp của Việt Nam ở Biển Đông trong lịch sử, sẵn sàng tham gia đóng góp vào cuộc đấu tranh </w:t>
            </w:r>
            <w:r w:rsidRPr="004811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bảo vệ chủ quyền, các quyền và lợi ích hợp pháp của Việt Nam</w:t>
            </w:r>
            <w:r w:rsidRPr="004811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B19DB" w:rsidRPr="007D11AB" w:rsidRDefault="009B19DB" w:rsidP="009B19DB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7D11AB" w:rsidRPr="007C65C3" w:rsidRDefault="007D11AB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D11A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</w:tcPr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D11AB" w:rsidRPr="007C65C3" w:rsidRDefault="00572917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7D11A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80" w:type="dxa"/>
          </w:tcPr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3813" w:rsidRDefault="00073813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7D11AB" w:rsidRPr="007C65C3" w:rsidRDefault="00572917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81108" w:rsidRPr="007C65C3" w:rsidTr="00B97DE1">
        <w:trPr>
          <w:trHeight w:val="1800"/>
        </w:trPr>
        <w:tc>
          <w:tcPr>
            <w:tcW w:w="3509" w:type="dxa"/>
            <w:gridSpan w:val="3"/>
          </w:tcPr>
          <w:p w:rsidR="00481108" w:rsidRPr="007C65C3" w:rsidRDefault="00481108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667" w:type="dxa"/>
          </w:tcPr>
          <w:p w:rsidR="00481108" w:rsidRPr="007C65C3" w:rsidRDefault="00481108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481108" w:rsidRPr="007C65C3" w:rsidRDefault="004E384A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39" w:type="dxa"/>
          </w:tcPr>
          <w:p w:rsidR="00481108" w:rsidRPr="007C65C3" w:rsidRDefault="004E384A" w:rsidP="007C65C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80" w:type="dxa"/>
          </w:tcPr>
          <w:p w:rsidR="00481108" w:rsidRPr="007C65C3" w:rsidRDefault="004E384A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TN Đ/S</w:t>
            </w:r>
          </w:p>
        </w:tc>
        <w:tc>
          <w:tcPr>
            <w:tcW w:w="780" w:type="dxa"/>
          </w:tcPr>
          <w:p w:rsidR="00481108" w:rsidRPr="007C65C3" w:rsidRDefault="004E384A" w:rsidP="007C65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F461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/2TL</w:t>
            </w:r>
          </w:p>
        </w:tc>
      </w:tr>
    </w:tbl>
    <w:p w:rsidR="00A4230D" w:rsidRPr="00CA0030" w:rsidRDefault="00A4230D"/>
    <w:sectPr w:rsidR="00A4230D" w:rsidRPr="00CA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D"/>
    <w:rsid w:val="00073813"/>
    <w:rsid w:val="00130D8E"/>
    <w:rsid w:val="002339EC"/>
    <w:rsid w:val="00481108"/>
    <w:rsid w:val="004E384A"/>
    <w:rsid w:val="00572917"/>
    <w:rsid w:val="006444FE"/>
    <w:rsid w:val="007C65C3"/>
    <w:rsid w:val="007D11AB"/>
    <w:rsid w:val="007F131B"/>
    <w:rsid w:val="008337CF"/>
    <w:rsid w:val="008759EA"/>
    <w:rsid w:val="009701D3"/>
    <w:rsid w:val="009B19DB"/>
    <w:rsid w:val="00A4230D"/>
    <w:rsid w:val="00AA110C"/>
    <w:rsid w:val="00AC335B"/>
    <w:rsid w:val="00C3223B"/>
    <w:rsid w:val="00CA0030"/>
    <w:rsid w:val="00D2032D"/>
    <w:rsid w:val="00DD0FFA"/>
    <w:rsid w:val="00F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935"/>
  <w15:chartTrackingRefBased/>
  <w15:docId w15:val="{F96E43E6-5E49-4E0A-8694-16514161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C65C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551E-0AD2-4133-BA9D-2A079397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hai van</dc:creator>
  <cp:keywords/>
  <dc:description/>
  <cp:lastModifiedBy>le thi hai van</cp:lastModifiedBy>
  <cp:revision>13</cp:revision>
  <dcterms:created xsi:type="dcterms:W3CDTF">2024-04-12T12:10:00Z</dcterms:created>
  <dcterms:modified xsi:type="dcterms:W3CDTF">2024-04-14T10:31:00Z</dcterms:modified>
</cp:coreProperties>
</file>